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JSZC-320902-JZCG-G2025-0056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项目名称：</w:t>
      </w:r>
      <w:r>
        <w:rPr>
          <w:rFonts w:ascii="SimSun" w:hAnsi="SimSun" w:eastAsia="SimSun" w:cs="SimSun"/>
          <w:b/>
          <w:color w:val="000000"/>
          <w:sz w:val="32"/>
        </w:rPr>
        <w:t xml:space="preserve">盐城市妇联实验幼儿园物业管理服务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盐城市妇联实验幼儿园</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2025年9月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总目录</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第一章招标公告……………………………………2</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第二章投标人须知…………………………………5</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第三章合同文本……………………………………18</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第四章采购需求……………………………………25</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第五章评标方法与评标标准………………………28</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第六章投标文件格式………………………………31</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第一章招标公告</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盐城市妇联实验幼儿园物业管理服务</w:t>
            </w:r>
            <w:r>
              <w:rPr>
                <w:rFonts w:ascii="SimSun" w:hAnsi="SimSun" w:eastAsia="SimSun" w:cs="SimSun"/>
                <w:color w:val="000000"/>
                <w:sz w:val="21"/>
              </w:rPr>
              <w:t xml:space="preserve">招标项目的潜在投标人应在“苏采云”系统内免费下载获取招标文件（投标人必须在苏采云系统中获取招标文件，方能参与政府采购项目），并于</w:t>
            </w:r>
            <w:r>
              <w:rPr>
                <w:rFonts w:ascii="SimSun" w:hAnsi="SimSun" w:eastAsia="SimSun" w:cs="SimSun"/>
                <w:b/>
                <w:color w:val="000000"/>
                <w:sz w:val="21"/>
                <w:u w:val="single"/>
              </w:rPr>
              <w:t xml:space="preserve">2025年10月14 日09时00分</w:t>
            </w:r>
            <w:r>
              <w:rPr>
                <w:rFonts w:ascii="SimSun" w:hAnsi="SimSun" w:eastAsia="SimSun" w:cs="SimSun"/>
                <w:color w:val="000000"/>
                <w:sz w:val="21"/>
              </w:rPr>
              <w:t xml:space="preserve">（北京时间）前递交投标文件。</w:t>
            </w:r>
            <w:r/>
          </w:p>
        </w:tc>
      </w:tr>
    </w:tbl>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一、项目基本情况</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1.项目编号：JSZC-320902-JZCG-G2025-0056</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2.项目名称：盐城市妇联实验幼儿园物业管理服务</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3.预算金额：19万元。</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4.最高限价：19万元。投标报价高于最高限价的，采购人将不予接受，视为无效标书。</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盐城市妇联实验幼儿园物业服务，物业服务工作内容范围包括且不限于学校工作生活区域的卫生清洁、绿化养护、治安保卫、巡逻、车辆管理、水电及一般公物维修以及采购人委托的其它事项等，具体详见招标文件采购需求，采购人保留对采购需求进行适当调整的权利。</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6.合同履行期限：1年。</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二、申请人的资格要求</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1.满足《中华人民共和国政府采购法》第二十二条第一款的规定，并提供下列材料：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法人或者其他组织的营业执照等证明文件，自然人的身份证明。</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1.2上一年度的财务状况报表（至少提供资产负债表、利润表、现金流量表，投标人成立不满一年无需提供）。</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1.4具备履行合同所必需的设备和专业技术能力的书面声明。</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1.5参加政府采购活动前3年内在经营活动中没有重大违法记录的书面声明。</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1.8单位负责人为同一人或者存在直接控股、管理关系的不同投标人，不得参加同一合同项下的政府采购活动。</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b/>
          <w:color w:val="000000"/>
          <w:sz w:val="21"/>
        </w:rPr>
        <w:t xml:space="preserve">本项目专门面向中小企业采购，不接受非中小微型企业参与本项目投标。采购标的的所属行业为</w:t>
      </w:r>
      <w:r>
        <w:rPr>
          <w:rFonts w:ascii="SimSun" w:hAnsi="SimSun" w:eastAsia="SimSun" w:cs="SimSun"/>
          <w:b/>
          <w:color w:val="000000"/>
          <w:sz w:val="21"/>
          <w:highlight w:val="white"/>
          <w:u w:val="single"/>
        </w:rPr>
        <w:t xml:space="preserve">物业管理</w:t>
      </w:r>
      <w:r>
        <w:rPr>
          <w:rFonts w:ascii="SimSun" w:hAnsi="SimSun" w:eastAsia="SimSun" w:cs="SimSun"/>
          <w:b/>
          <w:color w:val="000000"/>
          <w:sz w:val="21"/>
        </w:rPr>
        <w:t xml:space="preserve">，投标人需按照招标文件的要求提供相应的《中小微企业声明函》。企业标准请参照《关于印发中小企业划型标准规定的通知》（工信部联企业〔2011〕300号）文件规定自行填写。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1.时间：自招标文件公告发布之日起5个工作日。</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2.地点：“苏采云”系统内免费下载（投标人必须在苏采云系统中获取招标文件，方能参与政府采购项目）。</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3.方式：本项目采用网上注册登记方式。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4.售价：0元。</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1.时间：2025年10月14日09时00分（北京时间）</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2.地点：“苏采云”政府采购交易系统网上开标大厅。</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五、公告期限</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六、其他补充事宜</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2.潜在投标人访问电子招标响应交易平台的网络地址和方法：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苏采云”系统用户注册--获取“CA数字证书”--CA绑定与登录--参与投标--下载招标文件（后缀名为“.kedt”）--将后缀名为“.kedt”的招标文件导入政府采购客户端工具--制作响应文件--导出加密的响应文件（后缀名为zip）--通过“苏采云”系统上传响应文件。具体见《“苏采云”系统投标人操作手册》 （手册下载地址：苏采云系统-右侧消息通知栏）。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2.2潜在投标人访问“苏采云”系统方法：江苏省政府采购网首页-“苏采云”链接。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2.3招标文件（后缀名为“.kedt”）、投标人操作手册及政府采购客户端工具可通过“苏采云”系统相应链接进行下载。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2.4采购代理机构将数据电文形式的招标文件加载至“苏采云”系统，供潜在投标人下载或者查阅。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2.5请潜在投标人提前安装相应的控件（详见《“苏采云”系统投标人操作手册》）并使用谷歌浏览器登录“苏采云”系统参与不见面开评标。如潜在投标人未按上述要求操作，将自行承担所产生的风险。</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3.有关本次招标的事项若存在变动或修改，敬请及时关注盐城市亭湖区公共资源交易中心在“中国政府采购网”、“江苏政府采购网”、“盐城市政府采购网”发布的更正公告。</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4.本次招标不收取投标保证金，不收取质量保证金。</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七、对本次招标提出询问，请按以下方式联系</w:t>
      </w:r>
      <w:r/>
    </w:p>
    <w:p>
      <w:pPr>
        <w:ind w:left="0" w:right="0" w:firstLine="422"/>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名称：盐城市妇联实验幼儿园</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地址：盐城市开放大道83号</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人：王主任</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联系方式：13770082329</w:t>
      </w:r>
      <w:r/>
    </w:p>
    <w:p>
      <w:pPr>
        <w:ind w:left="0" w:right="0" w:firstLine="422"/>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名称：盐城市亭湖区公共资源交易中心 </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地址：亭湖区希望大道中路18号</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人：纪先生</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联系方式：0515-89802019</w:t>
      </w:r>
      <w:r/>
    </w:p>
    <w:p>
      <w:pPr>
        <w:ind w:left="0" w:right="0" w:firstLine="422"/>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3.项目联系方式</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项目联系人：孙女士</w:t>
      </w:r>
      <w:r/>
    </w:p>
    <w:p>
      <w:pPr>
        <w:ind w:left="0" w:right="0" w:firstLine="42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话：18932286392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第二章投标人须知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一、总则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2.合格的投标人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2.1满足招标公告中投标人的资格要求的规定。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2.2满足本文件实质性条款的规定。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投标人应自行承担所有与参加投标有关的费用，无论投标过程中的做法和结果如何，采购人及采购代理机构在任何情况下均无义务和责任承担这些费用。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4.2本次招标采购代理机构和采购人不收取标书工本费。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5.招标文件的约束力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投标人一旦参加本项目采购活动，即被认为接受了本招标文件的规定和约束，并且视为自招标公告期限届满之日起知道或应当知道自身权益是否受到了损害。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6.招标文件的解释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本招标文件由采购人负责解释。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二、招标文件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7.招标文件构成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招标文件有以下部分组成：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请仔细检查招标文件是否齐全，如有缺漏请立即与采购代理机构联系解决。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8.招标文件的询问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任何要求对招标文件进行询问的投标人，应在投标截止日期十日前按招标公告中的通讯地址，以书面形式向采购代理机构提出。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9.招标文件的澄清或修改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在投标截止时间前，采购代理机构可以对招标文件进行澄清或修改。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9.2采购代理机构有权依法推迟投标截止日期和开标日期。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9.3招标文件的修改将在中国政府采购网、江苏省政府采购网、盐城市政府采购网公布，补充文件将作为招标文件的组成部分，并对投标人具有约束力。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三、投标文件的编制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10.投标文件的语言及度量衡单位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10.1投标人提交的投标文件以及投标人与采购代理机构就有关投标的所有来往通知、函件和文件均应使用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除技术性能另有规定外，投标文件所使用的度量衡单位，均须采用国家法定计量单位。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11.投标文件构成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投标人编写投标文件应按照招标文件要求及“第六章 投标文件格式”的要求制作投标文件，投标文件应（至少）包括（但不限于）：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11.1投标人编写的投标文件应包括资格证明文件、符合性证明文件、技术条款响应及偏离表、商务条款响应及偏离表、其他证明文件、投标函、开标一览表、分项明细报价表等部分（格式详见招标文件“第六章  投标文件格式”）。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12.证明投标人资格及符合招标文件规定的文件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12.1投标人应按要求提交资格证明文件及符合招标文件规定的文件。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12.2投标人应提交证明其有资格参加投标和中标后有能力独立履行合同的文件。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12.3投标人除必须具有履行合同所需提供的设备以及服务的能力外，还必须具备相应的财务方面的能力。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12.4投标人应提交根据合同要求提供的证明服务质量合格以及符合招标文件规定的证明文件。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12.5证明投标人所提供服务与招标文件的要求相一致的文件可以是手册、文字资料和数据。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13.1投标人应按照招标文件规定格式填报开标一览表，每项只允许有一个报价，任何有选择的报价将不予接受。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13.2有关费用处理的约定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投标人根据现场实际情况、采购人提供的采购需求、自身实力、结合市场行情报价，此报价应包括为完成招标文件中的所有内容。投标人应充分考虑为完成上述内容所必须的全部服务所需的所有费用，主要包括（但不限于）：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w:t>
      </w:r>
      <w:r>
        <w:rPr>
          <w:rFonts w:ascii="SimSun" w:hAnsi="SimSun" w:eastAsia="SimSun" w:cs="SimSun"/>
          <w:color w:val="000000"/>
          <w:sz w:val="21"/>
        </w:rPr>
        <w:t xml:space="preserve">及其它一切相关费用等所需的全部费用的价格体现，凡漏项或少计均视为优惠，甲方不另行增加费用。各类风险（除国家政策性调整除外）已包括在投标报价中，最终结算时除合同约定调整外一律不予结算。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（1）用于保洁的日常易耗品、工具、清洁剂、保洁车、洗手液、卫生纸、垃圾袋、消毒剂等均由投标人购置并承担费用。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（2）各投标人自行根据采购人提供的服务内容、招标文件及答疑文件等资料要求，并根据市场行情、结合自身公司实力、管理水平等因素，按要求进行报价。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测算费用时，所有人员工资不低于本市最低工资标准2260元/人每月，所有人员必须足额缴纳社保费用，社保（企业部分）不得低于1273.42元/人每月，税金费率不得低于6.72%。</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用工制度必须按国家《劳动法》《江苏省劳动管理条例》有关规定执行。公共责任险（亦称第三者险）由投标人自行决定办理与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13.2.2投标人应按服务内容填写服务单价、合价，并由投标人法定代表人或委托代理人签署。</w:t>
      </w:r>
      <w:r>
        <w:rPr>
          <w:rFonts w:ascii="SimSun" w:hAnsi="SimSun" w:eastAsia="SimSun" w:cs="SimSun"/>
          <w:b/>
          <w:color w:val="000000"/>
          <w:sz w:val="21"/>
        </w:rPr>
        <w:t xml:space="preserve">投标人必须按《分项明细报价表》要求填写，并作为项目最终结算的依据。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13.2.3本项目设定投标报价的最高限价，请各投标人在最高限价</w:t>
      </w:r>
      <w:r>
        <w:rPr>
          <w:rFonts w:ascii="SimSun" w:hAnsi="SimSun" w:eastAsia="SimSun" w:cs="SimSun"/>
          <w:b/>
          <w:color w:val="000000"/>
          <w:sz w:val="21"/>
          <w:u w:val="single"/>
        </w:rPr>
        <w:t xml:space="preserve">19</w:t>
      </w:r>
      <w:r>
        <w:rPr>
          <w:rFonts w:ascii="SimSun" w:hAnsi="SimSun" w:eastAsia="SimSun" w:cs="SimSun"/>
          <w:b/>
          <w:color w:val="000000"/>
          <w:sz w:val="21"/>
        </w:rPr>
        <w:t xml:space="preserve">万元</w:t>
      </w:r>
      <w:r>
        <w:rPr>
          <w:rFonts w:ascii="SimSun" w:hAnsi="SimSun" w:eastAsia="SimSun" w:cs="SimSun"/>
          <w:color w:val="000000"/>
          <w:sz w:val="21"/>
        </w:rPr>
        <w:t xml:space="preserve">以下进行投标报价，投标报价高于最高限价的，采购人将不予接受，视为无效标书。</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13.3本项目报价为全费用固定综合单价（即将所有费用均摊销至各综合单价中），投标人根据采购人提供的分项明细报价表报全费用综合单价和总价。项目结算时，按实际处理量按实结算；除采购人调整项目内容或合同约定调整外，一律不调整中标全费用综合单价。</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13.4现场踏勘要求：投标人均应自行到项目现场进行踏勘，充分了解项目位置、情况及任何其他足以影响投标报价的情况，并将本项目可预见的相关费用考虑到投标报价中，中标后采购人可认为本项目可预见的所有费用已在投标报价中予以考虑。任何因忽视或误解现场情况而导致的索赔将不被批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13.5其它费用处理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招标文件未列明，而投标人认为必需的费用也需列入报价。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13.6投标货币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投标文件中的单价和总价无特殊规定的采用人民币报价，以元为单位标注。招标文件中另有规定的按规定执行。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14.技术条款响应及偏离表、商务条款响应及偏离表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14.1对招标文件中的技术与商务条款要求逐项作出响应或偏离，并说明原因。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15.服务承诺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投标人的服务承诺应按不低于招标文件中要求的标准。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16.投标函和开标一览表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投标人应按照招标文件中提供的格式完整、正确填写投标函、开标一览表。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16.2开标一览表中的价格应与投标文件中投标价格分项明细表中的价格一致，如不一致，不作为无效投标处理，但评标时按开标一览表中价格为准。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17.投标有效期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投标有效期为采购人规定的开标之日后</w:t>
      </w:r>
      <w:r>
        <w:rPr>
          <w:rFonts w:ascii="SimSun" w:hAnsi="SimSun" w:eastAsia="SimSun" w:cs="SimSun"/>
          <w:b/>
          <w:color w:val="000000"/>
          <w:sz w:val="21"/>
          <w:u w:val="single"/>
        </w:rPr>
        <w:t xml:space="preserve">六十（60）</w:t>
      </w:r>
      <w:r>
        <w:rPr>
          <w:rFonts w:ascii="SimSun" w:hAnsi="SimSun" w:eastAsia="SimSun" w:cs="SimSun"/>
          <w:color w:val="000000"/>
          <w:sz w:val="21"/>
        </w:rPr>
        <w:t xml:space="preserve">天。投标有效期比规定短的将被视为非响应性投标而予以拒绝。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四、投标文件的递交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18.投标文件的递交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电子投标文件的递交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投标人应当按照《操作手册》规定，在投标截止时间前制作并上传电子投标文件。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19.1投标人上传电子投标文件的时间不得迟于招标公告中规定的投标截止时间。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19.2采购代理机构可以按照规定，通过修改招标文件酌情延长投标截止时间，在此情况下，投标人的所有权利和义务以及投标人受制的截止时间均应以延长后新的截止时间为准。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20.投标文件的拒收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20.1采购代理机构拒绝接收在其规定的投标截止时间后上传的任何投标文件。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21.投标文件的撤回和修改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21.1投标文件的撤回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21.1.1电子投标文件的撤回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21.1.2投标人撤回电子投标文件，则认为其不再参与本项目投标活动。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投标文件的修改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21.2.1投标人可在投标截止时间前，对其电子投标文件进行修改，具体操作方法见《操作手册》。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21.2.2在投标截止时间之后，投标人不得对其电子投标文件作任何修改。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21.3在投标截止时间至招标文件中规定的投标有效期满之间的这段时间内，投标人不得撤回其投标。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五、开标与评标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22.开标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22.1采购代理机构将在招标公告中规定的时间和地点组织公开开标。投标人应当按照《操作手册》规定，参加开标活动和在苏采云系统规定的时间内对投标文件进行解密。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22.2开标仪式由采购代理机构组织。苏采云系统将自动对项目进行开标，并宣布各投标人名称和投标价格。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22.3投标人在开标过程中涉及到的投标文件解密、开标结果确认等工作，应按照《操作手册》规定执行。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23.评标委员会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23.1开标后，采购代理机构将立即组织评标委员会（以下简称评委会）进行评标。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23.2评委会由采购人代表和有关技术、经济等方面的专家组成，且人员构成符合政府采购有关规定。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23.3评委会独立工作，负责评审所有投标文件并确定中标侯选人。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24.评标过程的保密与公正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24.1凡是与审查、澄清、评价和比较投标的有关资料以及授标建议等，采购人、评委、采购代理机构均不得向投标人或与评标无关的其他人员透露。</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24.2在评标过程中，投标人不得以任何行为影响评标过程，否则其投标文件将被作为无效投标文件。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24.3采购代理机构和评标委员会不向未中标的投标人解释未中标原因，也不公布评标过程中的相关细节。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24.4采用综合评分法的项目，未中标的投标人可于中标结果公告期限届满之日起通过苏采云系统查看自己的评审得分及排序情况。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25.投标文件的澄清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25.3接到评委会澄清、说明和补正要求的投标人如未按规定做出澄清、说明和补正，其风险由投标人自行承担。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26.对投标文件的初审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26.1投标文件初审分为资格审查和符合性审查。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26.1.1资格审查：依据法律法规和招标文件的规定，由采购人对投标文件中的资格证明文件进行审查。资格审查的结论，采购人以书面形式向评委会进行反馈。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采购人在进行资格性审查的同时，将在“信用中国”网站（www.creditchina.gov.cn）查询投标人的信用记录，以确定投标人是否具备投标资格,查询结果留存并归档。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26.1.2符合性审查：依据招标文件的规定，由评委会从投标文件的有效性、完整性和对招标文件的响应程度进行审查，以确定是否对招标文件的实质性要求作出响应。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26.1.3未通过资格审查或符合性审查的投标人，采购代理机构将在苏采云系统中告知未通过资格审查或符合性审查的原因，评标结束后，采购代理机构将不再告知未通过资格审查和符合性审查的原因。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26.4评委会将对确定为实质性响应的投标进行进一步审核，确定其是否有计算上或累加上的算术错误，修正错误的原则如下：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26.6投标人在开、评标全过程中应保持通讯畅通，及时登录苏采云系统查阅、答复相关信息，并安排专人与采购人及评标委员会联系。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27.无效投标条款和废标条款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27.1无效投标条款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27.1.1投标人在苏采云系统规定的时间内未成功解密电子投标文件的。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27.1.2投标人未按照招标文件要求上传电子投标文件的。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27.1.3同一投标人提交两个（含两个）以上不同的投标报价的。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27.1.4投标人不具备招标文件中规定资格要求的。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27.1.5投标人的报价超过了采购预算或最高限价的。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27.1.6未通过符合性审查的。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27.1.7不符合招标文件中规定的实质性要求和条件的（</w:t>
      </w:r>
      <w:r>
        <w:rPr>
          <w:rFonts w:ascii="SimSun" w:hAnsi="SimSun" w:eastAsia="SimSun" w:cs="SimSun"/>
          <w:i/>
          <w:color w:val="000000"/>
          <w:sz w:val="21"/>
          <w:u w:val="single"/>
        </w:rPr>
        <w:t xml:space="preserve">本招标文件中斜体且有下划线部分为实质性要求和条件</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27.1.9投标文件含有采购人不能接受的附加条件的。</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27.1.10投标人不能证明其报价合理性的，评标委员会应当将其作为无效投标处理。</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（一）评审过程中出现下列情形之一的，评标委员会应当启动异常低价投标审查程序：</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1.投标报价低于采购项目预算50%的，即投标报价&lt;采购项目预算×50%；</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2.投标报价低于采购项目最高限价45%的，即投标报价&lt;采购项目最高限价×45%；</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3.评标委员会认定的供应商报价过低、有可能影响产品质量或者不能诚信履约的其他情形。</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27.1.11投标文件未</w:t>
      </w:r>
      <w:r>
        <w:rPr>
          <w:rFonts w:ascii="SimSun" w:hAnsi="SimSun" w:eastAsia="SimSun" w:cs="SimSun"/>
          <w:color w:val="000000"/>
          <w:sz w:val="21"/>
        </w:rPr>
        <w:t xml:space="preserve">按照招标文件要求加盖CA电子公章的。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27.1.12其他法律、法规及本招标文件规定的属无效投标的情形。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27.2废标条款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27.2.1符合专业条件的投标人或者对招标文件作实质响应的投标人不足三家的。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27.2.2出现影响采购公正的违法、违规行为的。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27.2.3因重大变故，采购任务取消的。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27.2.4评标委员会认定招标文件存在歧义、重大缺陷导致评审工作无法进行。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27.2.5因苏采云系统系统故障原因造成开标不成功的。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投标截止时间结束后参加投标的投标人不足三家的处理：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27.3.1如出现投标截止时间结束后参加投标的投标人或者在评标期间对招标文件做出实质响应的投标人不足三家情况，按政府采购相关规定执行。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六、定标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28.确定中标单位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28.1中标候选人的选取原则和数量见招标文件第五章规定。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28.2采购人应根据评委会推荐的中标候选人确定中标人。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28.3采购代理机构将在“中国政府采购网”、“江苏政府采购网”、“盐城市政府采购网”发布中标公告，公告期限为1个工作日。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28.4若有充分证据证明，中标人出现下列情况之一的，一经查实，将被取消中标资格：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28.4.1提供虚假材料谋取中标的。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28.4.2向采购人、采购代理机构行贿或者提供其他不正当利益的。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28.4.3属于本文件规定的无效条件，但在评标过程中又未被评委会发现的。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28.4.4与采购人或者其他投标人恶意串通的。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28.4.5采取不正当手段诋毁、排挤其他投标人的。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 有下列情形之一的，视为投标人串通投标，投标无效：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28.5.1不同投标人的投标文件由同一单位或者个人编制。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28.5.2不同投标人委托同一单位或者个人办理投标事宜。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28.5.3不同投标人的投标文件载明的项目管理成员或者联系人员为同一人。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28.5.4不同投标人的投标文件异常一致或者投标报价呈规律性差异。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29.1提出质疑的投标人应当是参与所质疑项目采购活动的投标人。潜在投标人依法获取其可质疑的招标文件的，可以对招标文件提出质疑。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投标人认为招标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29.2.1对可以质疑的招标文件提出质疑的，为收到招标文件之日或者招标文件公告期限届满之日；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29.2.2对采购过程提出质疑的，为各采购程序环节结束之日；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29.2.3对中标或者成交结果提出质疑的，为中标或者成交结果公告期限届满之日。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投标人应当在法定质疑期内一次性提出针对同一采购程序环节的质疑。投标人如在法定期限内对同一采购程序环节提出多次质疑的，采购代理机构将只对投标人第一次质疑作出答复。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29.4投标人（含潜在投标人）对采购方式、采购需求、投标人资格条件及审查结果、评标方法和评标标准、合同文本及其他事项的询问、质疑请向采购代理机构提出，由采购代理机构负责答复。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采购代理机构只接收以纸质原件形式送达的质疑,采购代理机构不接受未填写快递运单的快件。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29.5.1内容不符合《政府采购质疑和投诉办法》第十二条规定的质疑。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29.5.2超出政府采购法定期限的质疑。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29.5.3以传真、电子邮件等方式递交的非原件形式的质疑。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29.5.4未参加投标活动的投标人或在投标活动中自身权益未受到损害的投标人所提出的质疑。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29.5.5投标人组成联合体参加投标，联合体中任何一方或多方未按要求签字、盖章、加盖公章的质疑。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30.中标通知书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30.2中标通知书将是合同的一个组成部分。对采购人和中标人均具有法律效力。中标通知书发出后，采购人改变中标结果的，或者中标人放弃中标项目的，应当依法承担法律责任。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七、授予合同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31.签订合同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31.l中标人应当在中标通知书发出之日起三十日内，按照招标文件确定的事项与采购人签订政府采购合同。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31.2招标文件、中标人的投标文件及招标过程中有关澄清、承诺文件均应作为合同附件。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31.3签订合同后，</w:t>
      </w:r>
      <w:r>
        <w:rPr>
          <w:rFonts w:ascii="SimSun" w:hAnsi="SimSun" w:eastAsia="SimSun" w:cs="SimSun"/>
          <w:i/>
          <w:color w:val="000000"/>
          <w:sz w:val="21"/>
          <w:u w:val="single"/>
        </w:rPr>
        <w:t xml:space="preserve">中标人不得将合同标的进行转包</w:t>
      </w:r>
      <w:r>
        <w:rPr>
          <w:rFonts w:ascii="SimSun" w:hAnsi="SimSun" w:eastAsia="SimSun" w:cs="SimSun"/>
          <w:color w:val="000000"/>
          <w:sz w:val="21"/>
        </w:rPr>
        <w:t xml:space="preserve">。未经采购人同意，中标人也不得采用分包的形式履行合同，否则采购人有权终止合同。转包或分包造成采购人损失的，中标人应承担相应赔偿责任。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32.服务（包含与服务相关的货物）的追加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33.政府采购政策功能落实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33.1政府采购履约资金扶持政策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33.2进口产品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33.3中小企业、监狱企业及残疾人福利性单位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33.3.1中小企业定义：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1"/>
        </w:rPr>
        <w:t xml:space="preserve">6 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33.3.2供应商提供的货物、工程或者服务符合下列情形的，享受中小企业扶持政策：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33.3.2.1在货物采购项目中，货物由中小企业制造，即货物由中小企业生产且使用该中小企业商号或者注册商标；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33.3.2.2在工程采购项目中，工程由中小企业承建，即工程施工单位为中小企业；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33.3.2.3在服务采购项目中，服务由中小企业承接，即提供服务的人员为中小企业依照《中华人民共和国劳动合同法》订立劳动合同的从业人员。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33.3.3在货物采购项目中，供应商提供的货物既有中小企业制造货物，也有大型企业制造货物的，不享受中小企业扶持政策。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33.3.4以联合体形式参加政府采购活动，联合体各方均为中小企业的，联合体视同中小企业。其中，联合体各方均为小微企业的，联合体视同小微企业。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33.3.6残疾人福利单位定义：享受政府采购支持政策的残疾人福利性单位应当同时满足以下条件：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33.3.6.1安置的残疾人占本单位在职职工人数的比例不低于25%（含25%），并且安置的残疾人人数不少于10 人（含10 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33.3.6.2依法与安置的每位残疾人签订了一年以上（含一年）的劳动合同或服务协议；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33.3.6.3为安置的每位残疾人按月足额缴纳了基本养老保险、基本医疗保险、失业保险、工伤保险和生育保险等社会保险费；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33.3.6.4通过银行等金融机构向安置的每位残疾人，按月支付了不低于单位所在区县适用的经省级人民政府批准的月最低工资标准的工资；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33.3.6.5提供本单位制造的货物、承担的工程或者服务（以下简称产品），或者提供其他残疾人福利性单位制造的货物（不包括使用非残疾人福利性单位注册商标的货物）；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33.3.7本项目是否专门面向中小企业预留采购份额见第一章《招标公告》。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33.3.8采购标的对应的中小企业划分标准所属行业见第四章《采购需求》。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33.3.9小微企业价格评审优惠的政策：见第五章《评标方法和评标标准》。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33.4政府采购节能产品、环境标志产品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1"/>
        </w:rPr>
        <w:t xml:space="preserve">如属政府强制采购产品未提供认证证书的或认证证书提供不全的将视为未实质性响应采购要求。</w:t>
      </w:r>
      <w:r>
        <w:rPr>
          <w:rFonts w:ascii="SimSun" w:hAnsi="SimSun" w:eastAsia="SimSun" w:cs="SimSun"/>
          <w:color w:val="000000"/>
          <w:sz w:val="21"/>
        </w:rPr>
        <w:t xml:space="preserve">其他条件相同情况下，应当优先采购节能产品、环境标志产品。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33.5绿色包装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33.6政府采购创新产品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采购人优先采购各级政府部门公开发布的有效期内的创新产品、创新服务、首台套、首购首用等《目录》的创新产品。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33.7绿色数据中心政策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1"/>
        </w:rPr>
        <w:t xml:space="preserve">涉及生产过程或检测时间长等原因，不能在验收过程中开展检测、认证的，可要求供应商在验收阶段提供相关检测报告、认证报告。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33.8履约保证金政策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确需收取履约保证金的，履约保证金的缴纳形式：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如以履约保函（保险）形式缴纳履约保证金，供应商可通过政府采购电子履约保函（保险）平台（www.jsdzbh.com）在线申请履约保函（保险）。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部门备案的第三方信用报告，且信用报告通过“信用盐城网”可查实），免收履约保证金或降低履约保证金缴纳比例（中标价的5%）。</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预付款制度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 合同文本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以下为中标后签定本项目合同的通用条款，中标人不得提出实质性的修改</w:t>
      </w:r>
      <w:r>
        <w:rPr>
          <w:rFonts w:ascii="FangSong" w:hAnsi="FangSong" w:eastAsia="FangSong" w:cs="FangSong"/>
          <w:color w:val="000000"/>
          <w:sz w:val="24"/>
        </w:rPr>
        <w:t xml:space="preserve">。</w:t>
      </w:r>
      <w:r/>
    </w:p>
    <w:p>
      <w:pPr>
        <w:ind w:left="0" w:right="0" w:firstLine="60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盐城市政府采购合同（合同编号）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项目编号：JSZC-320902-JZCG-G2025-0056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项目名称：盐城市妇联实验幼儿园物业管理服务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rPr>
          <w:rFonts w:ascii="SimSun" w:hAnsi="SimSun" w:eastAsia="SimSun" w:cs="SimSun"/>
          <w:color w:val="000000"/>
          <w:sz w:val="21"/>
          <w:u w:val="single"/>
        </w:rPr>
        <w:t xml:space="preserve">盐城市妇联实验幼儿园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乙方（中标人）：</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甲、乙双方根据盐城市亭湖区公共资源交易中心</w:t>
      </w:r>
      <w:r>
        <w:rPr>
          <w:rFonts w:ascii="SimSun" w:hAnsi="SimSun" w:eastAsia="SimSun" w:cs="SimSun"/>
          <w:color w:val="000000"/>
          <w:sz w:val="21"/>
          <w:u w:val="single"/>
        </w:rPr>
        <w:t xml:space="preserve">盐城市妇联实验幼儿园物业管理服务</w:t>
      </w:r>
      <w:r>
        <w:rPr>
          <w:rFonts w:ascii="SimSun" w:hAnsi="SimSun" w:eastAsia="SimSun" w:cs="SimSun"/>
          <w:color w:val="000000"/>
          <w:sz w:val="21"/>
        </w:rPr>
        <w:t xml:space="preserve">公开招标的结果，依照《中华人民共和国民法典》《中华人民共和国政府采购法》《物业管理条例》《江苏省物业管理条例》及其他有关法律、行政法规，遵循平等、自愿、公平和诚实信用的原则，签署本合同。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一、采购标的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服务内容：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盐城市妇联实验幼儿园物业服务，物业服务工作内容范围包括且不限于学校工作生活区域的卫生清洁、绿化养护、治安保卫、巡逻、车辆管理、水电及一般公物维修以及甲方委托的其它事项等，甲方保留对采购需求进行适当调整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（二）服务要求：详见项目需求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本物业管理费为人民币：（大写）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；本物业管理费用支付时，乙方应提供税务发票。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该合同的服务价格即合同价，主要包括（但不限于）：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w:t>
      </w:r>
      <w:r>
        <w:rPr>
          <w:rFonts w:ascii="SimSun" w:hAnsi="SimSun" w:eastAsia="SimSun" w:cs="SimSun"/>
          <w:color w:val="000000"/>
          <w:sz w:val="21"/>
        </w:rPr>
        <w:t xml:space="preserve">约定调整外一律不予结算。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三、服务期限要求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1.服务期限：自合同签订之日起一年（含节假日）， 2025年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 2026 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日（含节假日），合同约定的年度服务期包含寒暑假（寒暑假正常上班）。</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本合同委托管理期限期满后在一周内无条件地按相关规定完成移交工作（乙方应移交所有的物管档案资料和电子文档以及甲方提供的用房、用具等，经甲方或甲方委托的新物管公司验收合格后方可退场）。</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四、服务要求</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物业共用部分的养护和管理。物业共用部分具体包括：房屋的承重结构（包括：基础、承重墙体、梁柱、楼盖等），非承重结构的分户墙外墙面，屋盖、屋面、大厅、公共门厅、走廊、过道、楼梯间、垃圾通道、楼道灯、避雷装置和室外亮化、园区绿化管理、园区下水道疏通等甲方招标范围内和乙方投标承诺的部分。</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4.2物业档案资料管理。</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4.3建立严格规范的应急体系，以便应对突发公共事件（包括群众集体上访）的秩序维护服务，无火灾、刑事案件和交通事故。当发生紧急情况时，乙方必须无条件配合甲相关工作。</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五、付款方式</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1.1甲方支付合同总价的30%作为预付款，乙方须提供相应的税务发票；</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剩余物业服务费用的支付采用“月月考核，按月支付”，即甲方于每月15日前对上月的物业管理工作进行考核。经甲方考核合格于每月末支付当月物业管理费。物业费按月支付，从第二个月开始，物业公司付清派遣到本校的从业人员工资后，学校支付上一个月服务费（在每次支付时扣除十二分之一的预付款）。考核结果在支付物业管理费中兑现，如一年中有连续有两个月或累计三个月考核不合格，甲方有权单方面解除本协议，并赔偿由此而造成的甲方的一切损失。同时，乙方在发放物业服务人员工资时，应结合服务单位对物管人员服务情况的考核情况（注：按以上付</w:t>
      </w:r>
      <w:r>
        <w:rPr>
          <w:rFonts w:ascii="SimSun" w:hAnsi="SimSun" w:eastAsia="SimSun" w:cs="SimSun"/>
          <w:color w:val="000000"/>
          <w:sz w:val="21"/>
        </w:rPr>
        <w:t xml:space="preserve">款，无任何银行利息，一律通过银行结转）。如因上级财政部门资金拨付不到位，则甲方确保在年底结清款项。乙方承诺：仍按合同约定提供服务，且不因拖欠资金追究甲方的相关责任和损失。</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六、各方当事人的义务或协作事项及承担的责任</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1.甲方权利：</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1.1审定乙方拟定的年度物业管理服务计划和方案。</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甲方有权对乙方的物业管理工作和投标书、承诺书、考核标准、合同履行情况进行监督审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1.3在合同履行期间，如乙方中途无故退出或发生责任事故，给甲方带来不良影响的，或者因乙方工作不力，严重影响甲方正常工作秩序的，甲方有权终止本合同，并要求乙方给予经济赔偿。</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1.4对拒绝、不服从或抵触甲方领导指挥的乙方使用人员，甲方有权要求乙方进行调换，否则甲方有权终止本合同，并对乙方进行经济处罚。</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1.5监督、指导乙方人员在区域内的一切行为和活动；乙方聘用的物业服务人员进场前应征求甲方的意见。如甲方或服务单位对个别物业服务人员不满意，乙方应予以调换。</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1.6依据相关法律、法规规定享有的其他权利。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2.1甲方应向乙方移交下列资料：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2.1.1设施设备的安装、使用说明书和维护保养等技术资料。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2.1.2物业管理所必需的其他资料。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2.2按照合同约定按时足额支付物业服务费。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2.3协助乙方做好物业管理工作和宣传教育、文化活动。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2.4协助乙方规范对区域内人员违反法规、规章的行为。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2.5协调、配合乙方共同处理本合同生效前发生的相关遗留问题。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2.6法律、法规规定的其他义务。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3.1按照国家和有关物业管理的技术标准、行业规范以及本服务合同进行管理，提供专业化的服务。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3.2按照本合同和有关规定向甲方收取物业服务费用和其他费用。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3.3根据甲方授权，制定必要的规章制度，并以有效方式督促辖区内人员遵守。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3.4根据甲方授权，采取规劝、警告等措施制止区域内人员违反公众管理制度的行为。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3.5依照法律、法规规定和本合同约定享有的其他权利。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4.1全面贯彻执行国家物业管理的法规、政策，全面遵守《招标文件》的要求，执行《响应文件》的承诺，接受甲方的审查、考核和监督，接受物业管理行政主管部门等的监督和指导。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4.2及时向甲方通告本区域内有关物业管理服务的重大事项，及时处理投诉，接受甲方的监督管理。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4.3在承接物业时，应当对物业共用部位、共用设施设备进行查验,并做好书面记录和签认工作。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4.4结合本物业管理区域的实际情况，编制年度管理计划，维修保养计划，经甲方批准后组织实施。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4.5制止本物业管理区域内违反有关治安、环保、物业装饰装修和使用等方面规章制度的行为，对违反法律法规规定的行为及时向甲方报告。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协助做好本物业管理区域内的安全防范工作，发生安全事故时，在采取应急措施的同时，及时向有关行政管理部门报告，保护好现场、协助做好救助工作；秩序维护员在维护本物业管理区域的公共秩序时，要履行职责，不得侵害公民的合法权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4.7非经甲方许可并办理有关手续，不得擅自改变物业管理区域内共用部分、共用设施设备的用途；对本物业的公用设施不得擅自占用和改变使用功能。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4.8因维修、养护共用部位、共用设施设备需要而暂时停水、停电或停止共用设施设备的使用的（除排危抢险情形以外），乙方应事先通知甲方。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4.9经甲方书面同意，可选聘专业公司承担本物业的个别专项管理业务，但不得将履行本合同的责任转让给第三方。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4.10本合同终止或出现本合同约定终止情形时，乙方应当在接到通知七日内将物业管理用房和物业管理相关资料、物件、设施及时如数地移交给甲方并撤出前委托管理区域，不得以任何理由拒绝或拖延。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4.11法律、法规规定的其他义务。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七、不可抗力事件处理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1.在合同有效期内，任何一方因不可抗力事件导致不能履行合同，则合同履行期延长，其延长期与不可抗力影响期相同。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2.不可抗力事件发生后，应立即通知对方，并寄送有关权威机构出具的证明。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3.不可抗力事件延续120天以上，双方应通过友好协商，确定是否继续履行合同。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八、争议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九、违约终止合同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在乙方违约的情况下，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十、履约保证金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1.乙方交纳人民币</w:t>
      </w:r>
      <w:r>
        <w:rPr>
          <w:rFonts w:ascii="SimSun" w:hAnsi="SimSun" w:eastAsia="SimSun" w:cs="SimSun"/>
          <w:color w:val="000000"/>
          <w:sz w:val="21"/>
          <w:u w:val="single"/>
        </w:rPr>
        <w:t xml:space="preserve">（合同金额的10%）</w:t>
      </w:r>
      <w:r>
        <w:rPr>
          <w:rFonts w:ascii="SimSun" w:hAnsi="SimSun" w:eastAsia="SimSun" w:cs="SimSun"/>
          <w:color w:val="000000"/>
          <w:sz w:val="21"/>
        </w:rPr>
        <w:t xml:space="preserve">元作为本合同的履约保证金。采购人对第三方信用服务机构依据标准规范评定为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部门备案的第三方信用报告，且信用报告通过“信用盐城网”可查实），免收履约保证金或降低履约保证金缴纳比例（中标价的5%）。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2.合同履行结束后甲方退还交纳的履约保证金。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3.履约保证金的退还：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3.1方式：无息退还至乙方缴纳履约保证金的账户。如为保函，在到期时自行失效。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3.2时间：验收合格且甲方收到发票后 30 日内。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3.3条件：按合同要求全部履约完成并经甲方验收合格，且甲方收到乙方出具的发票。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3.4不予退还情形：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除不可抗力情况外，乙方出现下列情形之一的，其履约保证金，甲方将视情节决定不予退还或部分不予退还。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3.4.1乙方无正当理由拒绝签订合同的，或者在签订合同时向甲方提出附加条件或者更改合同实质性内容要求的；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3.4.2乙方不履行与甲方订立的合同的；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3.4.3乙方所供货物或服务不符合招标文件规定要求的；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3.4.4乙方采取欺骗、弄虚作假方式投标的或与其它投标人串通投标的；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3.4.5乙方将合同内容转包、违法分包的；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3.4.6乙方故意捏造事实或伪造证明材料，进行虚假恶意投诉或反映的。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逾期退还的违约责任：甲方逾期无故未退还履约保证金的，按中国人民银行同期贷款基准利率上浮20%后的利率支付超期资金占用费，但因乙方自身原因导致无法及时退还的除外。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4.如乙方未能履行合同规定的任何义务，甲方有权从履约保证金中得到补偿。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十一、转包和分包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1.甲方不允许乙方将本项目转包给任何第三方，如发现乙方有转包行为，限令改正。否则，甲方有权终止合同。转包造成甲方损失的，乙方应承担相应赔偿责任，从到期的合同款中扣除。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2.未经甲方同意，乙方也不得采用分包的形式履行合同，否则，甲方有权终止合同，分包造成甲方损失的，乙方应承担相应赔偿责任，从到期的合同款中扣除。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十二、其他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1.本项目采购文件和乙方的响应文件中（以及投标时承诺）被甲方认可的部分为本合同的不可分割的组成部分，与本合同具有同样效力。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自行协调解决本项目实施过程中发生的各种矛盾，甲方不承担任何费用和责任，服务期不顺延；乙方已到项目现场踏勘以充分了解本项目的情况，任何因忽视或误解项目情况而导致的索赔或工期延长申请不被批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服务过程中必须确保安全，如造成各种人身伤害、财产损失或其他事故，均由乙方负责处理和经济赔偿，甲方不承担任何责任。所有进场服务员工的安全由乙方负责，如发生安全事故，责任由乙方承担，甲方不承担任何责任且有权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不得拖欠员工工资，如发现一次，则限令其限时整改；如未整改或再次发现拖欠员工工资的现象，甲方有权直接终止合同，将乙方清退并没收履约保证金，已经发生的物业费不予结算，发生的一切经济损失由乙方自行承担；并将该行为视为不诚信行为，上报至区教育管理机构，限制其参与区教育局的任何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中的未尽事宜，采购文件中有规定的，按采购文件中的规定处理；没有规定的，双方可协商后进行补充，以书面形式签订补充协议，补充协议与本合同具同等效力。本合同之附件均为本合同不可分割的组成部分，与本合同具有同等的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6.合同修改：欲对合同条款进行任何改动，均须由甲、乙双方协商一致，并签署书面的合同修改书。若未协商一致并形成书面文件的，则继续履行本合同约定。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7.合同期满本合同自然终止。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8.本合同一式四份，以中文书写，甲、乙双方各执两份，经甲、乙双方签字盖章后生效。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合同签订时间：年月日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签订地点：盐城市妇联实验幼儿园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甲方单位名称（盖章）：乙方单位名称（盖章）：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或委托代理人（签字或盖章）：             或委托代理人（签字或盖章）：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附件：盐城市妇联实验幼儿园物业管理考核办法</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3"/>
        <w:gridCol w:w="5182"/>
        <w:gridCol w:w="1146"/>
        <w:gridCol w:w="917"/>
        <w:gridCol w:w="1062"/>
      </w:tblGrid>
      <w:tr>
        <w:trPr>
          <w:trHeight w:val="10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人员考核细则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考核满分（分）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  注</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着装统一，保持良好的精神面貌。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制度公示上墙，持证上岗并公示上墙。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上班时间段内，当班人员按要求规范上岗，正确使用文明用语。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保持值班室的卫生，物品装备摆放整齐。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保洁台账、交接班台账、巡查台账、绿化台账、维修台账等规范填写。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学校整体环境良好，无保洁死角；道路整洁无垃圾、落叶，室外构筑物走道、栏杆、顶棚整洁卫生，地下车库整洁无垃圾。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按甲方要求做好常态化工作。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垃圾每日收集1次，作到日产日清，无垃圾桶、果壳箱满溢现象，定期对垃圾桶进行冲洗，冲洗后无异味。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保证在环境卫生品质不降低的前提下，严格合理的控制物料消耗，对物料及机械管理，及时规范详实的做好盘点、发放登记、日常维护及使用情况。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维修及时高效，发生突发事件（如停电、停水等）要及时赶到现场处理，并及时向有关领导报告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人员要认真学习消防、防恐防暴知识，熟知使用消防、防暴器材的方法。发现消防隐患，及时上报，提出整改意见，避免事故。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发生突发事件（如停电、停水等）要及时赶到现场处理，并及时向有关领导报告。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确保项目内的治安安全，按上级要求，及时纠正和处理治安安全事件。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上下团结，齐心协力，为整体物业工作出力献策。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 采购需求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妇联实验幼儿园物业服务，物业服务工作内容范围包括且不限于学校工作生活区域的卫生清洁、绿化养护、治安保卫、巡逻、车辆管理、水电及一般公物维修以及采购人委托的其它事项等，采购人保留对采购需求进行适当调整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二、委托管理期限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1.本项目委托管理期限：1年，合同约定的年度服务期包含寒暑假（寒暑假正常上班）。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2.成交供应商如需调换人员需有正当理由，并在保证服务质量的前提下，经采购人同意方可调换，否则采购人有权采取相应措施。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在本项目合同委托管理期限期满后在一周内无条件地按相关规定完成移交工作(成交供应商应移交所有的物管档案资料和电子文档以及甲方提供的用房、用具等，经采购人或采购人委托的新物管公司验收合格后方可退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三、委托管理事项包括以下内容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1.人员配备及配置要求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1.1人员配备：</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1383"/>
        <w:gridCol w:w="1613"/>
        <w:gridCol w:w="955"/>
        <w:gridCol w:w="1257"/>
        <w:gridCol w:w="3481"/>
      </w:tblGrid>
      <w:tr>
        <w:trPr>
          <w:trHeight w:val="59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1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4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1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4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专职（劳动关系）,24小时值班，夜间至少保证1人在岗。</w:t>
            </w:r>
            <w:r/>
          </w:p>
        </w:tc>
      </w:tr>
      <w:tr>
        <w:trPr>
          <w:trHeight w:val="6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1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5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4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专职（劳动关系），服务期10个月</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上人员合计至少4人：其中保安员3人（男）、保洁员1人（女）。采购人不为兼职人员另行增加任何工资和费用，也不为中标人另行增加人员增加任何工资和费用，相关一切费用由中标人自行承担，与采购人无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（2）以上人员工资不得低于盐城市最低工资标准或本招标文件约定最低标准，其工资组成应包含工资、各类保险、各类津补贴等。制服费、加班费、福利费、高温补助等均由中标人自行负责，与采购人无关。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（3）人员健康要求：派驻学校工作人员必须身体健康，无重大疾病、传染病、心血管方面等慢性病，进场人员必须提供健康证明、无违法犯罪证明给学校备案。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（4）使用人员基本原则：无不良记录、吃苦耐劳、敬业能干。</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1.2人员配置要求：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1.2.1保洁员要求：（1）女性，50周岁以下（不含50周岁）。（2）身体素质良好，工作责任心强，思想品质好，无不良记录。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保安员要求：（1）男性，55周岁以下（不含55周岁）。（2）政治可靠，作风正派，初中毕业以上学历；身体健康，能胜任执勤等护卫任务；无违法犯罪记录；保安员具有保安员上岗证；所有队员基本信息、身份证明、无违法犯罪记录证明要在保卫处填写登记表备案并保证队伍的相对稳定。所有上岗人员基本情况、政审材料等交由项目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以上涉及证书投标时无需提供，在进场前提供给采购人审核。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2、工作职责及要求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2.1保洁员工作职责及要求：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（1）负责校园公共区域：阶梯教室、校长室、会议室、多功能室、操场、楼梯、走廊、栏杆、厕所、各洗手台、饮水机、校园绿化带等，除教室之外的所有区域的卫生打扫保洁工作。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（2）遵守劳动纪律，清扫的杂物垃圾必须倒入垃圾桶，严禁随意乱倒，清扫并保持垃圾箱整洁。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（3）保证校园公共区域无杂草、无垃圾、无白色污染，地面干净整洁。厕所内无污迹、无异味。每天必须在规定的时间清扫干净，同时还必须坚持日常巡视保洁工作。随时接受后勤管理人员的工作指导和检查。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（4）负责打扫工具、清洁易耗品（由中标人自行提供，采购人不另行支付任何额外费用）的保管和使用。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（5）采购人安排的其它临时性环境卫生清理工作。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（1）对校园区域保洁，确保公共区域无杂物及垃圾。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（2）保洁员工必须妥善保管保洁工具，及时清洗晾干拖把。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（3）保洁工具必须按指定的位置摆放，要求统一整齐，不得随意摆放。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（4）做好打扫、饮水机消毒等相关记录。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（5）寒暑假期间及法定假日也须对厕所进行打扫。</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2.2保安员、夜间值班人员工作职责及工作要求：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（1）值班人员必须按时上班，工作认真负责，确保学校财产和师生的人身安全。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（2）外来人员登记，发现有外来人员，须安排在接待室等候，电话通知相关人员到接待室接待。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（3）要严格控制学校财产外流，对有人携带大件物品和贵重物品外出，必须由财产保管员出具证明方得放行，遇有可疑和紧急情况须立即报告校相关领等。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（4）紧急情况处置。对在值班过程中出现的紧急情况，须立即报警并报告学校领导，同时要采取必要的处置措施，防止事态的进一步扩大。</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（1）上班时间有人巡视，值班人员熟悉校园内的环境，着装统一，文明值勤，举止端正，言语规范、认真负责，外来人员来访登记，联系确认后方可进入。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（2）结合学校特点，制订安全防范措施，杜绝闲杂人员进入校园；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（3）工作期间不允许吸烟、不允许饮酒、不允许进行黄赌毒等违法行为。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3、其他服务要求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（1）保证放学后把大垃圾桶清运至校门口，确保无滞留垃圾。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（2）保证放学后关闭厕所冲水阀门。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（3）建立健全物业管理制度，根据采购人的具体情况，中标单位应制定详细的内部管理制度、日常服务的运作管理制度等相关制度。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加强对保安队员的法纪教育和业务学习训练，每月整建制集中理论学习不少于4小时；规范化执勤、消防灭火、防暴训练等不少于4小时，并列入保安队伍进考核；除特殊情况外，保安人员要求必须相对固定；学校与物业公司、学校与保安等人员签订相关责任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四、采购标的对应的中小企业划分标准所属行业一览表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3658"/>
        <w:gridCol w:w="4023"/>
      </w:tblGrid>
      <w:tr>
        <w:trPr>
          <w:trHeight w:val="7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对应中小企业划分标准所属行业</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盐城市妇联实验幼儿园物业管理服务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物业管理</w:t>
            </w:r>
            <w:r/>
          </w:p>
        </w:tc>
      </w:tr>
    </w:tbl>
    <w:p>
      <w:pPr>
        <w:ind w:left="0" w:right="0" w:firstLine="42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中标人（成交供应商）与采购人签订合同前，须向第三方咨询公司支付咨询服务相关费用计6000元（参照按[苏招协［2022］002号]服务类文标准下浮后得出），本条不单独列表报价，与本项目最低人员工资标准测算无关，各投标人自行综合考虑至公司运营费用中。</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第五章评标方法与评标标准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一、评标方法与定标原则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 综合评分 </w:t>
      </w:r>
      <w:r>
        <w:rPr>
          <w:rFonts w:ascii="SimSun" w:hAnsi="SimSun" w:eastAsia="SimSun" w:cs="SimSun"/>
          <w:color w:val="000000"/>
          <w:sz w:val="21"/>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中标候选人，本项目选取1名中标候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政府采购政策功能落实</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1.1本项目专门面向中小微企业采购，不再对小型和微型企业产品给予价格扣除。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1.2投标人需按照招标文件的要求提供相应的《中小微企业声明函》。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1.3企业标准请参照《关于印发中小企业划型标准规定的通知》（工信部联企业〔2011〕300号）文件规定自行填写。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2.1本项目对残疾人福利性单位视同小型、微型企业。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2.2残疾人福利单位需按照招标文件的要求提供《残疾人福利性单位声明函》。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2.3残疾人福利单位标准请参照《关于促进残疾人就业政府采购政策的通知》（财库〔2017〕141号）。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3.1本项目对监狱和戒毒企业（简称监狱企业）视同小型、微型企业。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3.2监狱企业参加政府采购活动时，需提供由省级以上监狱管理局、戒毒管理局(含新疆生产建设兵团)出具的属于监狱企业的证明文件。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1"/>
        </w:rPr>
        <w:t xml:space="preserve">采购节能产品、环境标志产品。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二、评标标准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1.初步评审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1.1资格审查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依据法律法规和招标文件的规定，开标结束后，由采购人对投标文件中的资格证明文件进行审查。资格审查的结论，采购人以书面形式向评委会进行反馈。（资格审查需提供的材料详见招标文件第六章 投标文件格式中资格证明文件）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1.2符合性审查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注：未通过资格审查或符合性审查的投标人，采购代理机构将在苏采云系统中告知未通过资格审查或符合性审查的原因，评标结束后，采购代理机构将不再告知未通过资格审查和符合性审查的原因。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2.评分标准</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6"/>
        <w:gridCol w:w="7116"/>
        <w:gridCol w:w="89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50分</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1.符合政策法规的物业管理服务的整体设想及策划（本项最高得7分）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评标委员会根据投标人针对本项目中符合政策法规的物业管理服务的整体设想及策划方面阐述内容进行打分。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（1）优于项目需求得7分；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（2）满足项目需求得6分；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（3）不满足项目需求或不提供不得分。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2.组织机构设置、人员配备、培训与管理（本项最高得7分）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评标委员会根据投标人针对本项目中组织机构设置、人员配备、培训与管理方面阐述内容进行打分。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（1）优于项目需求得7分；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（2）满足项目需求得6分；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（3）不满足项目需求或不提供不得分。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3.拟采取的物业管理服务实施方案（本项最高得7分）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评标委员会根据投标人针对本项目中适合本项目的物业管理服务实施方案方面阐述内容进行打分。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（1）优于项目需求得7分；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（2）满足项目需求得6分；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（3）不满足项目需求或不提供不得分。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4.适合本项目的各种突发事件的处理预案（本项最高得7分）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评标委员会根据投标人针对本项目中适合本项目的各种突发事件的处理预案方面阐述内容进行打分。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（1）优于项目需求得7分；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（2）满足项目需求得6分；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（3）不满足项目需求或不提供不得分。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5.日常管理措施（本项最高得7分）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评标委员会根据投标人针对本项目中日常管理措施方面阐述内容进行打分。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（1）优于项目需求得7分；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（2）满足项目需求得6分；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（3）不满足项目需求或不提供不得分。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w:t>
            </w:r>
            <w:r/>
          </w:p>
        </w:tc>
      </w:tr>
      <w:tr>
        <w:trPr>
          <w:trHeight w:val="3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派驻项目管理人员证书情况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1、拟派的服务人员如有具备大专学历的得1分；如有本科及以上学历的得2分，得2分；本项最高得2分。（需提供毕业证书原件扫描件及学信网https://www.chsi.com.cn/查询截图。）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2、拟派的服务人员中具有中级及以上消防设施操作员证，每有1人得1分，最高得2分；（需提供证书原件扫描件及技能人才评价证书全国联网https://jndj.osta.org.cn/查询截图。）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3、拟派的服务人员中具有特种作业操作证（电工），每有1人得1分，最高得1分；（需提供证书原件扫描件及需提供特种安全操作平台https://cx.mem.gov.cn/查询截图。）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除提供上述证书原件扫描件及相关截图，同时须提供以上人员在开标之日前半年内任意1个月在投标人单位缴纳社保的相关证明材料，不提供或提供不全的不得分，本项投标人提供的所有材料均须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1、提供有效的质量管理体系认证证书的得2分；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2、提供有效的环境管理体系认证证书得2分；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3、提供有效的职业安全健康管理体系认证证书得2分。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注：1-3项投标时提供证书原件扫描件和“全国认证认可信息公共服务平台http://cx.cnca.cn/CertECloud/index/index/page”查询截图，投标人应当确保证书开标当天处于有效期内）不提供不得分。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投标人自2022年1月1日以来（以合同签订时间为准）承接过类似物业管理项目每有一个得1分，本项最高分得4分，投标时须提供合同复印件并加盖投标人公章，不提供不得分。同一业主或同一项目不重复计分。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本项目评分总分值为100分。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（加盖CA电子公章）</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投标主要文件目录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一、法人或者其他组织的营业执照等证明文件，自然人的身份证明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二、上一年度的财务状况报表（至少提供资产负债表、利润表、现金流量表，投标人成立不满一年无需提供）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四、具备履行合同所必需的设备和专业技术能力的书面声明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五、参加政府采购活动前3年内在经营活动中没有重大违法记录的书面声明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六、特定资格要求的证明文件（如果本项目设置特定资格要求，则需要提供）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七、法人授权书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八、投标函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九、中小微企业声明函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十、残疾人福利性单位声明函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十一、技术条款响应及偏离表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十二、商务条款响应及偏离表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十三、开标一览表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十四、分项明细报价表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十五、盐城市亭湖区政府采购事前信用承诺书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十六、根据招标文件“第五章 定标原则与评标标准”的要求需要提供的服务方案、业绩材料及投标人认为有必要提供的其他材料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56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一、法人或者其他组织的营业执照等证明文件，自然人的身份证明</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二、上一年度的财务状况报表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（至少提供资产负债表、利润表、现金流量表，投标人成立不满一年不需提供。）</w:t>
      </w:r>
      <w:r/>
    </w:p>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三、具备履行合同所必需的设备和专业技术能力的书面声明</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四、依法缴纳税收和社会保障资金的相关材料</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提供提交投标文件截止时间前一年内至少一个月依法缴纳税收及缴纳社会保障资金的证明材料。投标人依法享受缓缴、免缴税收、社会保障资金的提供证明材料。</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五、参加政府采购活动前 3 年内在经营活动中没有重大违法记录的书面声明</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声  明</w:t>
      </w:r>
      <w:r/>
    </w:p>
    <w:p>
      <w:pPr>
        <w:ind w:left="0" w:right="0" w:firstLine="482"/>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六、特定资格要求的证明文件</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申请人的特定资格要求中要求提供的，必须提供。</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七、法人授权书</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本授权书声明：____________（投标人名称）授权________________（被授权人的姓名）为我方就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号</w:t>
      </w:r>
      <w:r>
        <w:rPr>
          <w:rFonts w:ascii="SimSun" w:hAnsi="SimSun" w:eastAsia="SimSun" w:cs="SimSun"/>
          <w:color w:val="000000"/>
          <w:sz w:val="21"/>
          <w:u w:val="single"/>
        </w:rPr>
        <w:t xml:space="preserve">盐城市妇联实验幼儿园物业管理服务</w:t>
      </w:r>
      <w:r>
        <w:rPr>
          <w:rFonts w:ascii="SimSun" w:hAnsi="SimSun" w:eastAsia="SimSun" w:cs="SimSun"/>
          <w:color w:val="000000"/>
          <w:sz w:val="21"/>
        </w:rPr>
        <w:t xml:space="preserve">采购活动的合法代理人，以本单位名义全权处理一切与该项目采购有关的事务。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w:t>
      </w:r>
      <w:r>
        <w:rPr>
          <w:rFonts w:ascii="SimSun" w:hAnsi="SimSun" w:eastAsia="SimSun" w:cs="SimSun"/>
          <w:color w:val="000000"/>
          <w:sz w:val="21"/>
          <w:u w:val="single"/>
        </w:rPr>
        <w:t xml:space="preserve">  （手机）              </w:t>
      </w:r>
      <w:r>
        <w:rPr>
          <w:rFonts w:ascii="SimSun" w:hAnsi="SimSun" w:eastAsia="SimSun" w:cs="SimSun"/>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授权单位名称：</w:t>
      </w:r>
      <w:r>
        <w:rPr>
          <w:rFonts w:ascii="SimSun" w:hAnsi="SimSun" w:eastAsia="SimSun" w:cs="SimSun"/>
          <w:color w:val="000000"/>
          <w:sz w:val="21"/>
          <w:u w:val="single"/>
        </w:rPr>
        <w:t xml:space="preserve">（加盖CA电子公章）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 位 地 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八、投标函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致：盐城市妇联实验幼儿园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号招标文件，正式授权下述签字人______(姓名)代表我方______________（投标人的名称），全权处理本次项目投标的有关事宜。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7.与本投标有关的正式通讯地址为：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九、中小微企业声明函（服务）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本公司（联合体）郑重声明，根据《政府采购促进中小企业发展管理办法》(财库[2020]46号)的规定，本公司（联合体）参加盐城市亭湖区公共资源交易中心组织的采购编号为</w:t>
      </w:r>
      <w:r>
        <w:rPr>
          <w:rFonts w:ascii="SimSun" w:hAnsi="SimSun" w:eastAsia="SimSun" w:cs="SimSun"/>
          <w:color w:val="000000"/>
          <w:sz w:val="21"/>
          <w:u w:val="single"/>
        </w:rPr>
        <w:t xml:space="preserve">JSZC-320902-JZCG-G2025-0056</w:t>
      </w:r>
      <w:r>
        <w:rPr>
          <w:rFonts w:ascii="SimSun" w:hAnsi="SimSun" w:eastAsia="SimSun" w:cs="SimSun"/>
          <w:color w:val="000000"/>
          <w:sz w:val="21"/>
        </w:rPr>
        <w:t xml:space="preserve">，</w:t>
      </w:r>
      <w:r>
        <w:rPr>
          <w:rFonts w:ascii="SimSun" w:hAnsi="SimSun" w:eastAsia="SimSun" w:cs="SimSun"/>
          <w:color w:val="000000"/>
          <w:sz w:val="21"/>
          <w:u w:val="single"/>
        </w:rPr>
        <w:t xml:space="preserve">盐城市妇联实验幼儿园物业管理服务</w:t>
      </w:r>
      <w:r>
        <w:rPr>
          <w:rFonts w:ascii="SimSun" w:hAnsi="SimSun" w:eastAsia="SimSun" w:cs="SimSun"/>
          <w:color w:val="000000"/>
          <w:sz w:val="21"/>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行业；承接企业为（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行业；承接企业为（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        </w:t>
      </w:r>
      <w:r/>
    </w:p>
    <w:p>
      <w:pPr>
        <w:ind w:left="0" w:right="0" w:firstLine="42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备注2：投标人如不提供此声明函，价格将不做相应扣除（如项目全面面向中小企业，则资格审查不通过）。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十、残疾人福利性单位声明函</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1"/>
          <w:u w:val="single"/>
        </w:rPr>
        <w:t xml:space="preserve">盐城市妇联实验幼儿园</w:t>
      </w:r>
      <w:r>
        <w:rPr>
          <w:rFonts w:ascii="SimSun" w:hAnsi="SimSun" w:eastAsia="SimSun" w:cs="SimSun"/>
          <w:color w:val="000000"/>
          <w:sz w:val="21"/>
        </w:rPr>
        <w:t xml:space="preserve">单位的采购文件编号为</w:t>
      </w:r>
      <w:r>
        <w:rPr>
          <w:rFonts w:ascii="SimSun" w:hAnsi="SimSun" w:eastAsia="SimSun" w:cs="SimSun"/>
          <w:color w:val="000000"/>
          <w:sz w:val="21"/>
          <w:u w:val="single"/>
        </w:rPr>
        <w:t xml:space="preserve">JSZC-320902-JZCG-G2025-0056</w:t>
      </w:r>
      <w:r>
        <w:rPr>
          <w:rFonts w:ascii="SimSun" w:hAnsi="SimSun" w:eastAsia="SimSun" w:cs="SimSun"/>
          <w:color w:val="000000"/>
          <w:sz w:val="21"/>
        </w:rPr>
        <w:t xml:space="preserve">的</w:t>
      </w:r>
      <w:r>
        <w:rPr>
          <w:rFonts w:ascii="SimSun" w:hAnsi="SimSun" w:eastAsia="SimSun" w:cs="SimSun"/>
          <w:color w:val="000000"/>
          <w:sz w:val="21"/>
          <w:u w:val="single"/>
        </w:rPr>
        <w:t xml:space="preserve">盐城市妇联实验幼儿园物业管理服务</w:t>
      </w:r>
      <w:r>
        <w:rPr>
          <w:rFonts w:ascii="SimSun" w:hAnsi="SimSun" w:eastAsia="SimSun" w:cs="SimSun"/>
          <w:color w:val="000000"/>
          <w:sz w:val="21"/>
        </w:rPr>
        <w:t xml:space="preserve">项目采购活动由本单位提供服务。</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备注：1、投标人如不提供此声明函，价格将不做相应扣除（如项目全面面向中小企业，则资格审查不通过）。2、中标人为残疾人福利单位的，此声明函将随中标结果同时公告，接受社会监督</w:t>
      </w:r>
      <w:r/>
    </w:p>
    <w:p>
      <w:pPr>
        <w:ind w:left="0" w:right="0" w:firstLine="42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400"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企业名称（加盖CA电子公章）：</w:t>
      </w:r>
      <w:r/>
    </w:p>
    <w:p>
      <w:pPr>
        <w:ind w:left="0" w:right="1560" w:firstLine="420"/>
        <w:jc w:val="center"/>
        <w:spacing w:before="240" w:after="240" w:line="400"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60" w:firstLine="420"/>
        <w:jc w:val="center"/>
        <w:spacing w:before="240" w:after="240" w:line="400"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十一、技术条款响应及偏离表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289"/>
        <w:gridCol w:w="1523"/>
        <w:gridCol w:w="2208"/>
        <w:gridCol w:w="16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十二、商务条款响应及偏离表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289"/>
        <w:gridCol w:w="1523"/>
        <w:gridCol w:w="2208"/>
        <w:gridCol w:w="16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28"/>
          <w:u w:val="single"/>
        </w:rPr>
        <w:t xml:space="preserve">十三、开标一览表</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项目编号：JSZC-320902-JZCG-G2025-0056</w:t>
      </w:r>
      <w:r>
        <w:rPr>
          <w:rFonts w:ascii="SimSun" w:hAnsi="SimSun" w:eastAsia="SimSun" w:cs="SimSun"/>
          <w:color w:val="000000"/>
          <w:sz w:val="24"/>
        </w:rPr>
        <w:t xml:space="preserve"> </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货币单位：人民币元</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38"/>
        <w:gridCol w:w="2838"/>
        <w:gridCol w:w="28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盐城市妇联实验幼儿园物业管理服务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8"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9"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26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十四、分项明细报价表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投标人全称（加盖CA电子签章）：</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1"/>
        <w:gridCol w:w="1105"/>
        <w:gridCol w:w="683"/>
        <w:gridCol w:w="619"/>
        <w:gridCol w:w="581"/>
        <w:gridCol w:w="930"/>
        <w:gridCol w:w="878"/>
        <w:gridCol w:w="2297"/>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月数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不得低于2260元/人每月，否则作无效标书处理。</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保安员社保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97"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不得低于1273.42元/人每月，否则作无效标书处理。</w:t>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保洁员社保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保安员住房公积金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9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不低于180.80元/人/每月。否则按无效标书处理。</w:t>
            </w:r>
            <w:r/>
          </w:p>
        </w:tc>
      </w:tr>
      <w:tr>
        <w:trPr>
          <w:trHeight w:val="6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保洁员住房公积金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国家法定假日加班费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目前国家法定节假日全年为13天，法定加班工资不低于4052.41元/人每年</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由各投标人自行考虑所需的服装费、设备用具费、管理费、利润等费用</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各供应商统一按照6.72%缴纳法定税费。增值税6%，附加税12%，6%*（1+12%）=6.72%</w:t>
            </w:r>
            <w:r/>
          </w:p>
        </w:tc>
      </w:tr>
      <w:tr>
        <w:trPr>
          <w:trHeight w:val="7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计算式：（1项-9项）</w:t>
            </w:r>
            <w:r/>
          </w:p>
        </w:tc>
      </w:tr>
    </w:tbl>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投标人全称（加盖CA电子签章）：</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42"/>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w:t>
      </w:r>
      <w:r>
        <w:rPr>
          <w:rFonts w:ascii="SimHei" w:hAnsi="SimHei" w:eastAsia="SimHei" w:cs="SimHei"/>
          <w:color w:val="000000"/>
          <w:sz w:val="28"/>
        </w:rPr>
        <w:t xml:space="preserve">盐城市亭湖区政府采购事前信用承诺书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为营造我区公开、公平、公正、诚实守信的政府采购交易环境，树立诚信守法的投标人形象，本人代表本单位作出以下承诺：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（三）严格依照国家和省、市关于政府采购的法律、法规、规章、规范性文件，参加政府采购投标活动；积极履行社会责任，促进廉政建设；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（四）严格遵守即时信息公示规定，及时维护和更新维护和更新盐城市政府采购网中与本单位相关的信息；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（六）自觉接受政府、行业组织、社会公众、新闻舆论的监督；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（八）本人已认真阅读了上述承诺，并向本单位员工作了宣传教育。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0" w:firstLine="56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8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十六、根据招标文件“第五章 定标原则与评标标准”的要求需要提供的服务方案、业绩材料及投标人认为有必要提供的其他材料</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tab/>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r/>
      <w:r/>
    </w:p>
    <w:sectPr>
      <w:footerReference w:type="default" r:id="rId8"/>
      <w:footnotePr/>
      <w:endnotePr/>
      <w:type w:val="nextPage"/>
      <w:pgSz w:w="11905" w:h="16838" w:orient="portrait"/>
      <w:pgMar w:top="1440" w:right="1417" w:bottom="1440" w:left="1417" w:header="102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6"/>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6"/>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2</w:t>
                    </w:r>
                    <w:r>
                      <w:rPr>
                        <w:sz w:val="21"/>
                        <w:szCs w:val="21"/>
                      </w:rPr>
                      <w:fldChar w:fldCharType="end"/>
                    </w:r>
                    <w:r>
                      <w:rPr>
                        <w:sz w:val="21"/>
                        <w:szCs w:val="21"/>
                      </w:rPr>
                    </w:r>
                    <w:r/>
                  </w:p>
                  <w:p>
                    <w:pPr>
                      <w:pStyle w:val="8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51"/>
    <w:next w:val="851"/>
    <w:link w:val="674"/>
    <w:uiPriority w:val="9"/>
    <w:qFormat/>
    <w:pPr>
      <w:keepLines/>
      <w:keepNext/>
      <w:spacing w:before="480" w:after="200"/>
      <w:outlineLvl w:val="0"/>
    </w:pPr>
    <w:rPr>
      <w:rFonts w:ascii="Arial" w:hAnsi="Arial" w:eastAsia="Arial" w:cs="Arial"/>
      <w:sz w:val="40"/>
      <w:szCs w:val="40"/>
    </w:rPr>
  </w:style>
  <w:style w:type="character" w:styleId="674">
    <w:name w:val="Heading 1 Char"/>
    <w:link w:val="673"/>
    <w:uiPriority w:val="9"/>
    <w:rPr>
      <w:rFonts w:ascii="Arial" w:hAnsi="Arial" w:eastAsia="Arial" w:cs="Arial"/>
      <w:sz w:val="40"/>
      <w:szCs w:val="40"/>
    </w:rPr>
  </w:style>
  <w:style w:type="paragraph" w:styleId="675">
    <w:name w:val="Heading 2"/>
    <w:basedOn w:val="851"/>
    <w:next w:val="851"/>
    <w:link w:val="676"/>
    <w:uiPriority w:val="9"/>
    <w:unhideWhenUsed/>
    <w:qFormat/>
    <w:pPr>
      <w:keepLines/>
      <w:keepNext/>
      <w:spacing w:before="360" w:after="200"/>
      <w:outlineLvl w:val="1"/>
    </w:pPr>
    <w:rPr>
      <w:rFonts w:ascii="Arial" w:hAnsi="Arial" w:eastAsia="Arial" w:cs="Arial"/>
      <w:sz w:val="34"/>
    </w:rPr>
  </w:style>
  <w:style w:type="character" w:styleId="676">
    <w:name w:val="Heading 2 Char"/>
    <w:link w:val="675"/>
    <w:uiPriority w:val="9"/>
    <w:rPr>
      <w:rFonts w:ascii="Arial" w:hAnsi="Arial" w:eastAsia="Arial" w:cs="Arial"/>
      <w:sz w:val="34"/>
    </w:rPr>
  </w:style>
  <w:style w:type="paragraph" w:styleId="677">
    <w:name w:val="Heading 3"/>
    <w:basedOn w:val="851"/>
    <w:next w:val="851"/>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51"/>
    <w:next w:val="851"/>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51"/>
    <w:next w:val="851"/>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51"/>
    <w:next w:val="851"/>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51"/>
    <w:next w:val="851"/>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51"/>
    <w:next w:val="851"/>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1"/>
    <w:next w:val="851"/>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List Paragraph"/>
    <w:basedOn w:val="851"/>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51"/>
    <w:next w:val="851"/>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1"/>
    <w:next w:val="851"/>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1"/>
    <w:next w:val="851"/>
    <w:link w:val="698"/>
    <w:uiPriority w:val="29"/>
    <w:qFormat/>
    <w:pPr>
      <w:ind w:left="720" w:right="720"/>
    </w:pPr>
    <w:rPr>
      <w:i/>
    </w:rPr>
  </w:style>
  <w:style w:type="character" w:styleId="698">
    <w:name w:val="Quote Char"/>
    <w:link w:val="697"/>
    <w:uiPriority w:val="29"/>
    <w:rPr>
      <w:i/>
    </w:rPr>
  </w:style>
  <w:style w:type="paragraph" w:styleId="699">
    <w:name w:val="Intense Quote"/>
    <w:basedOn w:val="851"/>
    <w:next w:val="85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1"/>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1"/>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rFonts w:ascii="Times New Roman" w:hAnsi="Times New Roman" w:eastAsia="宋体" w:cs="Times New Roman"/>
      <w:sz w:val="28"/>
      <w:szCs w:val="22"/>
      <w:lang w:val="en-US" w:eastAsia="zh-CN" w:bidi="ar-SA"/>
    </w:rPr>
  </w:style>
  <w:style w:type="paragraph" w:styleId="852">
    <w:name w:val="标题 2"/>
    <w:basedOn w:val="851"/>
    <w:next w:val="851"/>
    <w:link w:val="855"/>
    <w:uiPriority w:val="9"/>
    <w:unhideWhenUsed/>
    <w:qFormat/>
    <w:pPr>
      <w:keepLines/>
      <w:keepNext/>
      <w:spacing w:before="360" w:after="200"/>
      <w:outlineLvl w:val="1"/>
    </w:pPr>
    <w:rPr>
      <w:rFonts w:ascii="Arial" w:hAnsi="Arial" w:eastAsia="Arial" w:cs="Arial"/>
      <w:sz w:val="34"/>
    </w:rPr>
  </w:style>
  <w:style w:type="character" w:styleId="853">
    <w:name w:val="默认段落字体"/>
    <w:next w:val="853"/>
    <w:link w:val="851"/>
    <w:semiHidden/>
  </w:style>
  <w:style w:type="table" w:styleId="854">
    <w:name w:val="普通表格"/>
    <w:next w:val="854"/>
    <w:link w:val="851"/>
    <w:semiHidden/>
    <w:qFormat/>
    <w:tblPr/>
  </w:style>
  <w:style w:type="character" w:styleId="855">
    <w:name w:val="标题 2 字符"/>
    <w:next w:val="855"/>
    <w:link w:val="852"/>
    <w:uiPriority w:val="9"/>
    <w:qFormat/>
    <w:rPr>
      <w:rFonts w:ascii="Arial" w:hAnsi="Arial" w:eastAsia="Arial" w:cs="Arial"/>
      <w:sz w:val="34"/>
    </w:rPr>
  </w:style>
  <w:style w:type="paragraph" w:styleId="856">
    <w:name w:val="页脚"/>
    <w:basedOn w:val="851"/>
    <w:next w:val="856"/>
    <w:link w:val="851"/>
    <w:uiPriority w:val="99"/>
    <w:unhideWhenUsed/>
    <w:qFormat/>
    <w:pPr>
      <w:tabs>
        <w:tab w:val="center" w:pos="7143" w:leader="none"/>
        <w:tab w:val="right" w:pos="14287" w:leader="none"/>
      </w:tabs>
    </w:pPr>
  </w:style>
  <w:style w:type="paragraph" w:styleId="857">
    <w:name w:val="页眉"/>
    <w:basedOn w:val="851"/>
    <w:next w:val="857"/>
    <w:link w:val="85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8">
    <w:name w:val="普通(网站)"/>
    <w:basedOn w:val="851"/>
    <w:next w:val="858"/>
    <w:link w:val="851"/>
    <w:qFormat/>
    <w:pPr>
      <w:jc w:val="left"/>
      <w:spacing w:beforeAutospacing="1" w:afterAutospacing="1"/>
    </w:pPr>
    <w:rPr>
      <w:sz w:val="24"/>
    </w:rPr>
  </w:style>
  <w:style w:type="table" w:styleId="859">
    <w:name w:val="网格型"/>
    <w:next w:val="859"/>
    <w:link w:val="851"/>
    <w:qFormat/>
    <w:tblPr/>
  </w:style>
  <w:style w:type="paragraph" w:styleId="860">
    <w:name w:val="普通正文"/>
    <w:basedOn w:val="851"/>
    <w:next w:val="860"/>
    <w:link w:val="851"/>
    <w:uiPriority w:val="99"/>
    <w:qFormat/>
    <w:pPr>
      <w:ind w:firstLine="480"/>
      <w:jc w:val="left"/>
      <w:spacing w:before="120" w:after="120" w:line="360" w:lineRule="auto"/>
    </w:pPr>
    <w:rPr>
      <w:rFonts w:ascii="Arial" w:hAnsi="Arial"/>
      <w:sz w:val="24"/>
      <w:szCs w:val="24"/>
    </w:rPr>
  </w:style>
  <w:style w:type="paragraph" w:styleId="861">
    <w:name w:val="Default"/>
    <w:next w:val="861"/>
    <w:link w:val="851"/>
    <w:qFormat/>
    <w:pPr>
      <w:widowControl w:val="off"/>
    </w:pPr>
    <w:rPr>
      <w:rFonts w:ascii="仿宋_GB2312" w:hAnsi="Times New Roman" w:eastAsia="仿宋_GB2312" w:cs="仿宋_GB2312"/>
      <w:color w:val="000000"/>
      <w:sz w:val="24"/>
      <w:szCs w:val="24"/>
      <w:lang w:val="en-US" w:eastAsia="zh-CN" w:bidi="ar-SA"/>
    </w:rPr>
  </w:style>
  <w:style w:type="paragraph" w:styleId="862">
    <w:name w:val="Char"/>
    <w:basedOn w:val="851"/>
    <w:next w:val="862"/>
    <w:link w:val="851"/>
    <w:qFormat/>
    <w:pPr>
      <w:ind w:firstLine="200"/>
      <w:tabs>
        <w:tab w:val="left" w:pos="360" w:leader="none"/>
      </w:tabs>
    </w:pPr>
    <w:rPr>
      <w:szCs w:val="30"/>
    </w:rPr>
  </w:style>
  <w:style w:type="paragraph" w:styleId="863">
    <w:name w:val="普通(网站)1"/>
    <w:basedOn w:val="851"/>
    <w:next w:val="863"/>
    <w:link w:val="851"/>
    <w:uiPriority w:val="99"/>
    <w:unhideWhenUsed/>
    <w:qFormat/>
    <w:pPr>
      <w:jc w:val="left"/>
      <w:spacing w:before="100" w:beforeAutospacing="1" w:after="100" w:afterAutospacing="1"/>
      <w:widowControl/>
    </w:pPr>
    <w:rPr>
      <w:rFonts w:ascii="宋体" w:hAnsi="宋体" w:cs="宋体"/>
      <w:sz w:val="24"/>
    </w:rPr>
  </w:style>
  <w:style w:type="paragraph" w:styleId="864">
    <w:name w:val="普通(网站)111"/>
    <w:basedOn w:val="851"/>
    <w:next w:val="864"/>
    <w:link w:val="851"/>
    <w:qFormat/>
    <w:pPr>
      <w:jc w:val="left"/>
      <w:spacing w:beforeAutospacing="1" w:afterAutospacing="1"/>
    </w:pPr>
    <w:rPr>
      <w:sz w:val="24"/>
    </w:rPr>
  </w:style>
  <w:style w:type="paragraph" w:styleId="865">
    <w:name w:val="正文缩进11"/>
    <w:basedOn w:val="851"/>
    <w:next w:val="865"/>
    <w:link w:val="851"/>
    <w:qFormat/>
    <w:rPr>
      <w:szCs w:val="20"/>
    </w:rPr>
  </w:style>
  <w:style w:type="paragraph" w:styleId="866">
    <w:name w:val="普通(网站)112"/>
    <w:basedOn w:val="851"/>
    <w:next w:val="866"/>
    <w:link w:val="851"/>
    <w:qFormat/>
    <w:pPr>
      <w:jc w:val="left"/>
      <w:spacing w:beforeAutospacing="1" w:afterAutospacing="1"/>
    </w:pPr>
    <w:rPr>
      <w:sz w:val="24"/>
    </w:rPr>
  </w:style>
  <w:style w:type="paragraph" w:styleId="867">
    <w:name w:val="页脚1"/>
    <w:basedOn w:val="851"/>
    <w:next w:val="867"/>
    <w:link w:val="851"/>
    <w:uiPriority w:val="99"/>
    <w:qFormat/>
    <w:pPr>
      <w:jc w:val="left"/>
      <w:tabs>
        <w:tab w:val="center" w:pos="4153" w:leader="none"/>
        <w:tab w:val="right" w:pos="8306" w:leader="none"/>
      </w:tabs>
    </w:pPr>
    <w:rPr>
      <w:sz w:val="18"/>
    </w:rPr>
  </w:style>
  <w:style w:type="character" w:styleId="868">
    <w:name w:val="font11"/>
    <w:basedOn w:val="853"/>
    <w:next w:val="868"/>
    <w:link w:val="851"/>
    <w:rPr>
      <w:rFonts w:hint="eastAsia" w:ascii="宋体" w:hAnsi="宋体" w:eastAsia="宋体" w:cs="宋体"/>
      <w:i w:val="0"/>
      <w:iCs w:val="0"/>
      <w:color w:val="000000"/>
      <w:sz w:val="20"/>
      <w:szCs w:val="20"/>
      <w:u w:val="none"/>
    </w:rPr>
  </w:style>
  <w:style w:type="character" w:styleId="869">
    <w:name w:val="font21"/>
    <w:basedOn w:val="853"/>
    <w:next w:val="869"/>
    <w:link w:val="851"/>
    <w:rPr>
      <w:rFonts w:hint="eastAsia" w:ascii="宋体" w:hAnsi="宋体" w:eastAsia="宋体" w:cs="宋体"/>
      <w:b/>
      <w:bCs/>
      <w:i w:val="0"/>
      <w:iCs w:val="0"/>
      <w:color w:val="000000"/>
      <w:sz w:val="20"/>
      <w:szCs w:val="20"/>
      <w:u w:val="none"/>
    </w:rPr>
  </w:style>
  <w:style w:type="character" w:styleId="870" w:default="1">
    <w:name w:val="Default Paragraph Font"/>
    <w:uiPriority w:val="1"/>
    <w:semiHidden/>
    <w:unhideWhenUsed/>
  </w:style>
  <w:style w:type="numbering" w:styleId="871" w:default="1">
    <w:name w:val="No List"/>
    <w:uiPriority w:val="99"/>
    <w:semiHidden/>
    <w:unhideWhenUsed/>
  </w:style>
  <w:style w:type="table" w:styleId="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2</cp:revision>
  <dcterms:created xsi:type="dcterms:W3CDTF">2025-07-29T07:44:00Z</dcterms:created>
  <dcterms:modified xsi:type="dcterms:W3CDTF">2025-09-19T08:44:03Z</dcterms:modified>
</cp:coreProperties>
</file>